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48" w:rsidRPr="00912948" w:rsidRDefault="00912948" w:rsidP="00912948">
      <w:pPr>
        <w:widowControl/>
        <w:jc w:val="left"/>
        <w:rPr>
          <w:rFonts w:ascii="微软雅黑" w:eastAsia="微软雅黑" w:hAnsi="微软雅黑" w:cs="宋体"/>
          <w:vanish/>
          <w:color w:val="262626"/>
          <w:kern w:val="0"/>
          <w:sz w:val="18"/>
          <w:szCs w:val="18"/>
        </w:rPr>
      </w:pPr>
    </w:p>
    <w:p w:rsidR="00912948" w:rsidRPr="00912948" w:rsidRDefault="00912948" w:rsidP="00912948">
      <w:pPr>
        <w:widowControl/>
        <w:jc w:val="left"/>
        <w:rPr>
          <w:rFonts w:ascii="微软雅黑" w:eastAsia="微软雅黑" w:hAnsi="微软雅黑" w:cs="宋体"/>
          <w:vanish/>
          <w:color w:val="262626"/>
          <w:kern w:val="0"/>
          <w:sz w:val="18"/>
          <w:szCs w:val="18"/>
        </w:rPr>
      </w:pPr>
    </w:p>
    <w:tbl>
      <w:tblPr>
        <w:tblW w:w="5000" w:type="pct"/>
        <w:tblCellSpacing w:w="0" w:type="dxa"/>
        <w:tblCellMar>
          <w:left w:w="0" w:type="dxa"/>
          <w:right w:w="0" w:type="dxa"/>
        </w:tblCellMar>
        <w:tblLook w:val="04A0"/>
      </w:tblPr>
      <w:tblGrid>
        <w:gridCol w:w="8306"/>
      </w:tblGrid>
      <w:tr w:rsidR="00912948" w:rsidRPr="00912948" w:rsidTr="00912948">
        <w:trPr>
          <w:tblCellSpacing w:w="0" w:type="dxa"/>
        </w:trPr>
        <w:tc>
          <w:tcPr>
            <w:tcW w:w="0" w:type="auto"/>
            <w:vAlign w:val="center"/>
            <w:hideMark/>
          </w:tcPr>
          <w:tbl>
            <w:tblPr>
              <w:tblW w:w="4100" w:type="pct"/>
              <w:jc w:val="center"/>
              <w:tblCellSpacing w:w="0" w:type="dxa"/>
              <w:tblCellMar>
                <w:left w:w="0" w:type="dxa"/>
                <w:right w:w="0" w:type="dxa"/>
              </w:tblCellMar>
              <w:tblLook w:val="04A0"/>
            </w:tblPr>
            <w:tblGrid>
              <w:gridCol w:w="6811"/>
            </w:tblGrid>
            <w:tr w:rsidR="00912948" w:rsidRPr="00912948">
              <w:trPr>
                <w:trHeight w:val="1050"/>
                <w:tblCellSpacing w:w="0" w:type="dxa"/>
                <w:jc w:val="center"/>
              </w:trPr>
              <w:tc>
                <w:tcPr>
                  <w:tcW w:w="0" w:type="auto"/>
                  <w:tcMar>
                    <w:top w:w="150" w:type="dxa"/>
                    <w:left w:w="300" w:type="dxa"/>
                    <w:bottom w:w="150" w:type="dxa"/>
                    <w:right w:w="300" w:type="dxa"/>
                  </w:tcMar>
                  <w:vAlign w:val="center"/>
                  <w:hideMark/>
                </w:tcPr>
                <w:p w:rsidR="00912948" w:rsidRPr="00912948" w:rsidRDefault="00912948" w:rsidP="00912948">
                  <w:pPr>
                    <w:widowControl/>
                    <w:spacing w:line="360" w:lineRule="atLeast"/>
                    <w:jc w:val="center"/>
                    <w:rPr>
                      <w:rFonts w:ascii="宋体" w:eastAsia="宋体" w:hAnsi="宋体" w:cs="宋体"/>
                      <w:b/>
                      <w:bCs/>
                      <w:color w:val="006663"/>
                      <w:kern w:val="0"/>
                      <w:sz w:val="30"/>
                      <w:szCs w:val="30"/>
                    </w:rPr>
                  </w:pPr>
                  <w:r w:rsidRPr="00912948">
                    <w:rPr>
                      <w:rFonts w:ascii="宋体" w:eastAsia="宋体" w:hAnsi="宋体" w:cs="宋体" w:hint="eastAsia"/>
                      <w:b/>
                      <w:bCs/>
                      <w:color w:val="006663"/>
                      <w:kern w:val="0"/>
                      <w:sz w:val="30"/>
                      <w:szCs w:val="30"/>
                    </w:rPr>
                    <w:t>天津医科大学科技成果转移转化管理办法</w:t>
                  </w:r>
                </w:p>
              </w:tc>
            </w:tr>
          </w:tbl>
          <w:p w:rsidR="00912948" w:rsidRPr="00912948" w:rsidRDefault="00912948" w:rsidP="00912948">
            <w:pPr>
              <w:widowControl/>
              <w:jc w:val="center"/>
              <w:rPr>
                <w:rFonts w:ascii="宋体" w:eastAsia="宋体" w:hAnsi="宋体" w:cs="宋体"/>
                <w:vanish/>
                <w:kern w:val="0"/>
                <w:sz w:val="18"/>
                <w:szCs w:val="18"/>
              </w:rPr>
            </w:pPr>
          </w:p>
          <w:tbl>
            <w:tblPr>
              <w:tblW w:w="4100" w:type="pct"/>
              <w:jc w:val="center"/>
              <w:tblCellSpacing w:w="0" w:type="dxa"/>
              <w:tblCellMar>
                <w:left w:w="0" w:type="dxa"/>
                <w:right w:w="0" w:type="dxa"/>
              </w:tblCellMar>
              <w:tblLook w:val="04A0"/>
            </w:tblPr>
            <w:tblGrid>
              <w:gridCol w:w="6811"/>
            </w:tblGrid>
            <w:tr w:rsidR="00912948" w:rsidRPr="00912948">
              <w:trPr>
                <w:tblCellSpacing w:w="0" w:type="dxa"/>
                <w:jc w:val="center"/>
              </w:trPr>
              <w:tc>
                <w:tcPr>
                  <w:tcW w:w="0" w:type="auto"/>
                  <w:tcMar>
                    <w:top w:w="45" w:type="dxa"/>
                    <w:left w:w="300" w:type="dxa"/>
                    <w:bottom w:w="45" w:type="dxa"/>
                    <w:right w:w="300" w:type="dxa"/>
                  </w:tcMar>
                  <w:vAlign w:val="center"/>
                  <w:hideMark/>
                </w:tcPr>
                <w:p w:rsidR="00912948" w:rsidRPr="00912948" w:rsidRDefault="00912948" w:rsidP="00912948">
                  <w:pPr>
                    <w:widowControl/>
                    <w:spacing w:line="240" w:lineRule="atLeast"/>
                    <w:jc w:val="center"/>
                    <w:rPr>
                      <w:rFonts w:ascii="宋体" w:eastAsia="宋体" w:hAnsi="宋体" w:cs="宋体"/>
                      <w:b/>
                      <w:bCs/>
                      <w:color w:val="006663"/>
                      <w:kern w:val="0"/>
                      <w:szCs w:val="21"/>
                    </w:rPr>
                  </w:pPr>
                </w:p>
              </w:tc>
            </w:tr>
          </w:tbl>
          <w:p w:rsidR="00912948" w:rsidRPr="00912948" w:rsidRDefault="00912948" w:rsidP="00912948">
            <w:pPr>
              <w:widowControl/>
              <w:jc w:val="center"/>
              <w:rPr>
                <w:rFonts w:ascii="宋体" w:eastAsia="宋体" w:hAnsi="宋体" w:cs="宋体"/>
                <w:vanish/>
                <w:kern w:val="0"/>
                <w:sz w:val="18"/>
                <w:szCs w:val="18"/>
              </w:rPr>
            </w:pPr>
          </w:p>
          <w:tbl>
            <w:tblPr>
              <w:tblW w:w="4600" w:type="pct"/>
              <w:jc w:val="center"/>
              <w:tblCellSpacing w:w="0" w:type="dxa"/>
              <w:tblCellMar>
                <w:left w:w="0" w:type="dxa"/>
                <w:right w:w="0" w:type="dxa"/>
              </w:tblCellMar>
              <w:tblLook w:val="04A0"/>
            </w:tblPr>
            <w:tblGrid>
              <w:gridCol w:w="7642"/>
            </w:tblGrid>
            <w:tr w:rsidR="00912948" w:rsidRPr="00912948">
              <w:trPr>
                <w:trHeight w:val="180"/>
                <w:tblCellSpacing w:w="0" w:type="dxa"/>
                <w:jc w:val="center"/>
              </w:trPr>
              <w:tc>
                <w:tcPr>
                  <w:tcW w:w="0" w:type="auto"/>
                  <w:vAlign w:val="center"/>
                  <w:hideMark/>
                </w:tcPr>
                <w:p w:rsidR="00912948" w:rsidRPr="00912948" w:rsidRDefault="00912948" w:rsidP="00912948">
                  <w:pPr>
                    <w:widowControl/>
                    <w:jc w:val="left"/>
                    <w:rPr>
                      <w:rFonts w:ascii="宋体" w:eastAsia="宋体" w:hAnsi="宋体" w:cs="宋体"/>
                      <w:kern w:val="0"/>
                      <w:sz w:val="18"/>
                      <w:szCs w:val="18"/>
                    </w:rPr>
                  </w:pPr>
                </w:p>
              </w:tc>
            </w:tr>
          </w:tbl>
          <w:p w:rsidR="00912948" w:rsidRPr="00912948" w:rsidRDefault="00912948" w:rsidP="00912948">
            <w:pPr>
              <w:widowControl/>
              <w:jc w:val="center"/>
              <w:rPr>
                <w:rFonts w:ascii="宋体" w:eastAsia="宋体" w:hAnsi="宋体" w:cs="宋体"/>
                <w:vanish/>
                <w:kern w:val="0"/>
                <w:sz w:val="18"/>
                <w:szCs w:val="18"/>
              </w:rPr>
            </w:pPr>
          </w:p>
          <w:tbl>
            <w:tblPr>
              <w:tblW w:w="4100" w:type="pct"/>
              <w:jc w:val="center"/>
              <w:tblCellSpacing w:w="0" w:type="dxa"/>
              <w:tblCellMar>
                <w:left w:w="0" w:type="dxa"/>
                <w:right w:w="0" w:type="dxa"/>
              </w:tblCellMar>
              <w:tblLook w:val="04A0"/>
            </w:tblPr>
            <w:tblGrid>
              <w:gridCol w:w="6811"/>
            </w:tblGrid>
            <w:tr w:rsidR="00912948" w:rsidRPr="00912948">
              <w:trPr>
                <w:trHeight w:val="420"/>
                <w:tblCellSpacing w:w="0" w:type="dxa"/>
                <w:jc w:val="center"/>
              </w:trPr>
              <w:tc>
                <w:tcPr>
                  <w:tcW w:w="0" w:type="auto"/>
                  <w:vAlign w:val="center"/>
                  <w:hideMark/>
                </w:tcPr>
                <w:p w:rsidR="00912948" w:rsidRPr="00912948" w:rsidRDefault="00912948" w:rsidP="00912948">
                  <w:pPr>
                    <w:widowControl/>
                    <w:jc w:val="center"/>
                    <w:rPr>
                      <w:rFonts w:ascii="宋体" w:eastAsia="宋体" w:hAnsi="宋体" w:cs="宋体"/>
                      <w:kern w:val="0"/>
                      <w:sz w:val="18"/>
                      <w:szCs w:val="18"/>
                    </w:rPr>
                  </w:pPr>
                  <w:r w:rsidRPr="00912948">
                    <w:rPr>
                      <w:rFonts w:ascii="宋体" w:eastAsia="宋体" w:hAnsi="宋体" w:cs="宋体"/>
                      <w:color w:val="666666"/>
                      <w:kern w:val="0"/>
                      <w:sz w:val="18"/>
                    </w:rPr>
                    <w:t>发布时间：2017-11-30</w:t>
                  </w:r>
                </w:p>
              </w:tc>
            </w:tr>
          </w:tbl>
          <w:p w:rsidR="00912948" w:rsidRPr="00912948" w:rsidRDefault="00912948" w:rsidP="00912948">
            <w:pPr>
              <w:widowControl/>
              <w:jc w:val="center"/>
              <w:rPr>
                <w:rFonts w:ascii="宋体" w:eastAsia="宋体" w:hAnsi="宋体" w:cs="宋体"/>
                <w:vanish/>
                <w:kern w:val="0"/>
                <w:sz w:val="18"/>
                <w:szCs w:val="18"/>
              </w:rPr>
            </w:pPr>
          </w:p>
          <w:tbl>
            <w:tblPr>
              <w:tblW w:w="4100" w:type="pct"/>
              <w:jc w:val="center"/>
              <w:tblCellSpacing w:w="0" w:type="dxa"/>
              <w:tblCellMar>
                <w:left w:w="0" w:type="dxa"/>
                <w:right w:w="0" w:type="dxa"/>
              </w:tblCellMar>
              <w:tblLook w:val="04A0"/>
            </w:tblPr>
            <w:tblGrid>
              <w:gridCol w:w="6811"/>
            </w:tblGrid>
            <w:tr w:rsidR="00912948" w:rsidRPr="00912948">
              <w:trPr>
                <w:trHeight w:val="300"/>
                <w:tblCellSpacing w:w="0" w:type="dxa"/>
                <w:jc w:val="center"/>
              </w:trPr>
              <w:tc>
                <w:tcPr>
                  <w:tcW w:w="0" w:type="auto"/>
                  <w:vAlign w:val="center"/>
                  <w:hideMark/>
                </w:tcPr>
                <w:p w:rsidR="00912948" w:rsidRPr="00912948" w:rsidRDefault="00912948" w:rsidP="00912948">
                  <w:pPr>
                    <w:widowControl/>
                    <w:jc w:val="left"/>
                    <w:rPr>
                      <w:rFonts w:ascii="宋体" w:eastAsia="宋体" w:hAnsi="宋体" w:cs="宋体"/>
                      <w:kern w:val="0"/>
                      <w:sz w:val="18"/>
                      <w:szCs w:val="18"/>
                    </w:rPr>
                  </w:pPr>
                </w:p>
              </w:tc>
            </w:tr>
          </w:tbl>
          <w:p w:rsidR="00912948" w:rsidRPr="00912948" w:rsidRDefault="00912948" w:rsidP="00912948">
            <w:pPr>
              <w:widowControl/>
              <w:jc w:val="center"/>
              <w:rPr>
                <w:rFonts w:ascii="宋体" w:eastAsia="宋体" w:hAnsi="宋体" w:cs="宋体"/>
                <w:kern w:val="0"/>
                <w:sz w:val="18"/>
                <w:szCs w:val="18"/>
              </w:rPr>
            </w:pPr>
          </w:p>
        </w:tc>
      </w:tr>
    </w:tbl>
    <w:p w:rsidR="00912948" w:rsidRPr="00912948" w:rsidRDefault="00912948" w:rsidP="00912948">
      <w:pPr>
        <w:widowControl/>
        <w:jc w:val="left"/>
        <w:rPr>
          <w:rFonts w:ascii="微软雅黑" w:eastAsia="微软雅黑" w:hAnsi="微软雅黑" w:cs="宋体"/>
          <w:vanish/>
          <w:color w:val="262626"/>
          <w:kern w:val="0"/>
          <w:sz w:val="18"/>
          <w:szCs w:val="18"/>
        </w:rPr>
      </w:pPr>
    </w:p>
    <w:tbl>
      <w:tblPr>
        <w:tblW w:w="5000" w:type="pct"/>
        <w:tblCellSpacing w:w="0" w:type="dxa"/>
        <w:tblCellMar>
          <w:left w:w="0" w:type="dxa"/>
          <w:right w:w="0" w:type="dxa"/>
        </w:tblCellMar>
        <w:tblLook w:val="04A0"/>
      </w:tblPr>
      <w:tblGrid>
        <w:gridCol w:w="8306"/>
      </w:tblGrid>
      <w:tr w:rsidR="00912948" w:rsidRPr="00912948" w:rsidTr="00912948">
        <w:trPr>
          <w:tblCellSpacing w:w="0" w:type="dxa"/>
        </w:trPr>
        <w:tc>
          <w:tcPr>
            <w:tcW w:w="0" w:type="auto"/>
            <w:hideMark/>
          </w:tcPr>
          <w:tbl>
            <w:tblPr>
              <w:tblW w:w="4100" w:type="pct"/>
              <w:jc w:val="center"/>
              <w:tblCellSpacing w:w="0" w:type="dxa"/>
              <w:tblCellMar>
                <w:left w:w="0" w:type="dxa"/>
                <w:right w:w="0" w:type="dxa"/>
              </w:tblCellMar>
              <w:tblLook w:val="04A0"/>
            </w:tblPr>
            <w:tblGrid>
              <w:gridCol w:w="6811"/>
            </w:tblGrid>
            <w:tr w:rsidR="00912948" w:rsidRPr="00912948">
              <w:trPr>
                <w:trHeight w:val="5400"/>
                <w:tblCellSpacing w:w="0" w:type="dxa"/>
                <w:jc w:val="center"/>
              </w:trPr>
              <w:tc>
                <w:tcPr>
                  <w:tcW w:w="0" w:type="auto"/>
                  <w:hideMark/>
                </w:tcPr>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第一章 总则</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第一条 为规范学校科技成果转移转化管理工作，调动师生员工科技成果转移转化的积极性，加强科技成果的转移转化力度，根据《中华人民共和国科学技术进步法》、《中华人民共和国促进科技成果转化法》及其他有关法律、法规，结合学校实际，制定本办法。</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第二条 本办法所称科技成果是指执行学校的工作任务，或主要利用学校的物质技术条件，通过科学研究与技术开发所产生的具有实用价值的成果，以及通过对某种社会问题或现象进行观察、分析、研究、实验所获得的具有理论意义和应用意义的结论，包括专利和非专利技术、方法、产品等。</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第三条 本办法所称科技成果转移转化，是指为提高生产力水平而对科技成果进行的后续试验、开发、应用、推广直至形成新技术、新工艺、新材料、新产品，发展新产业等活动，以及把潜在的、虚拟的、间接的精神生产力转化为现实的、真正的、直接的物质生产力以取得经济效益的过程。</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第四条 科技成果转移转化活动应遵循以下原则：</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（一）遵守国家有关法律、法规；</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（二）符合国家和地方的产业政策和技术政策；</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（三）维护国家和学校利益，协调集体和个人利益；</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（四）遵循自愿、互利、公平、诚信的原则。</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第二章 工作机构及职责</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第五条 学校在科技处设立知识产权及成果转化中心，负责学校的科技成果转移转化日常管理工作。其职责是：</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（一）结合学校实际，拟订、修订科技成果转移转化管理制度；起草学校</w:t>
                  </w:r>
                  <w:r w:rsidRPr="00912948">
                    <w:rPr>
                      <w:rFonts w:ascii="宋体" w:eastAsia="宋体" w:hAnsi="宋体" w:cs="宋体"/>
                      <w:kern w:val="0"/>
                      <w:szCs w:val="21"/>
                    </w:rPr>
                    <w:lastRenderedPageBreak/>
                    <w:t>科技成果转移转化年度报告；</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（二）指导和协调学校有关单位开展科技成果转移转化工作；</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（三）校内成果信息和社会需求信息的收集、整理、沟通、服务等；</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（四）学校科技成果对外发布和推广；</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（五）负责成果转移转化过程中的跟踪服务，积极争取国家、地方政府和企业的经费支持；</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（六）利用学校有关平台，对具有良好转化前景的科技成果进行重点培育；</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（七）根据科技成果转移转化的需要，组织转移转化方案的可行性论证和评估。</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第三章 组织实施</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第六条 科技成果转移转化由知识产权及成果转化中心组织成果完成人和相关单位与技术受让方共同实施，任何单位和个人未经学校授权不得转让学校科技成果。</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第七条 学校鼓励成果完成人进行科技成果转移转化，相关单位应采取积极措施，对科技成果转移转化中的队伍组织、技术支撑环节等方面加强协调并给予必要的支持，推进科技成果转移转化工作。</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第八条 涉及科技成果转移转化重大事项，须按照《天津医科大学校领导班子关于进一步落实“三重一大”制度的实施细则》有关规定，经学校校长办公会、党委常委会集体研究决策。</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第九条 科技成果转移转化的具体形式由需求单位、知识产权及成果转化中心和成果完成人共同商定，科技成果可以采用下列方式进行转化：</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（一）自行投资实施转化；</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（二）向他人转让科技成果；</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（三）许可他人使用科技成果；</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（四）以科技成果作为合作条件，与他人共同实施转化；</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lastRenderedPageBreak/>
                    <w:t>（五）以科技成果作价投资，折算股份或出资比例；</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（六）其他协商确定的方式。</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第十条 参与科技成果转移转化的各方必须签订书面合同，约定各方的权利和义务，以及应承担的风险和违约责任。</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第十一条 科技成果转移转化合同签署过程中，可以通过协议定价、技术市场挂牌交易、拍卖等方式，确定成果交易、作价入股的价格。实行协议定价的，要在学校公示成果名称、拟交易价格、价格形成过程等，公示期15日。</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第十二条 科技成果转移转化活动中，涉及国家安全、国家利益和重大社会公共利益的，依照相关法律规定管理和实施。</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第四章 收益分配</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第十三条 科技成果转移转化所取得的收益一律纳入学校预算，实行统一管理、分别核算，并按照本办法进行收益分配。</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第十四条 本办法所指收益是指成果转化所产生的一切权益，包括转让费、许可费、利润分成（或收入提成）、技术（成果）入股的股权收益及其他与成果转化相关的所有权益。</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第十五条 在收益分配上，学校充分保障成果完成人的合法权益，同时兼顾学校和所在二级单位的利益。根据科技成果转移转化的不同形式，转移转化收益按以下办法进行分配：</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一）将科技成果以技术转让方式一次性转让给他人或许可他人使用的，所得净收益（转让收入扣除成本和税收等）按以下比例分配：成果完成人占80%（60%作为成果完成人的奖励，20%作为成果完成人的科研发展基金），学校占15%，所在二级单位占5%，后两者用于科研、知识产权管理及科技成果转移转化工作；</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（二）成果完成人自行创办企业实施成果转移转化的，经学校和成果完成人认可的资产评估机构评估后，约定学校在企业享有的股权或出资比例，或者学校以科技成果转让的方式直接取得现金收益；</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（三）以科技成果作价入股取得的收益按以下比例分配:成果完成人占80%、学校占20%。</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lastRenderedPageBreak/>
                    <w:t>学校以股份或出资比例等股权形式给予成果完成人奖励的，成果完成人所获科技成果技术入股股权归个人所有，获奖人员可暂不缴纳个人所得税。取得按股权、出资比例分红或股权转让、出资转让所得时，应依法缴纳个人所得税。以现金方式给予个人奖励的，探索按照偶然所得征收个人所得税。</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具有法人资格的二级单位，其科技成果转移转化所得净收益按以下比例分配：成果完成人占80%，二级单位占15%，学校占5%。</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第十六条 学校鼓励相关机构和人员对学校科技成果转移转化与中介的合作，由科技处统一管理，中介可以在转移转化收益中提取不超过5%的中介费用。该费用在进行收益分配之前扣除。</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第十七条 学校科技成果转移转化收入用于人员奖励的支出部分，计入当年学校工资总额，但不受当年学校工资总额限制，不纳入学校工资总额基数。科技人员承担的科技成果转化奖励不纳入绩效工资总额。</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第十八条 科技成果主要完成人或为成果转移转化做出重要贡献者，担任学校及学校所属具有法人资格单位领导职务的，其成果奖励按照《市教委市科委 市财政局 市人力社保局 市知识产权局关于印发天津市促进高校科技成果转移转化工作实施意见的通知》有关规定执行。</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第五章 责任与义务</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第十九条 科技成果转移转化过程中，通过技术交易市场挂牌交易、拍卖等方式确定价格，或通过协议定价并按规定在本单位及技术交易市场公示拟交易价格的，若产生科技成果转化后续价值变化，在履行勤勉尽责义务、没有牟取非法利益的前提下，应免除学校领导在科技成果定价中的决策责任。</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学校以作价投资方式转移转化科技成果发生的投资损失，不纳入对学校资产保值增值考核范围。</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第二十条 为做好科技成果宣传推广工作，促进成果转移转化，成果完成人在取得成果后，有义务将详细的项目介绍及时提供给知识产权及成果转化中心。项目介绍包括该成果所属技术领域及主要用途、市场调查和需求预测、成果的实施方案、经济效益和社会效益分析等。</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第二十一条 学校所有职务科技成果的转移转化均按本办法执行。凡不按此执行的，所有后果由当事人自负。私自将学校职务科技成果进行转移转</w:t>
                  </w:r>
                  <w:r w:rsidRPr="00912948">
                    <w:rPr>
                      <w:rFonts w:ascii="宋体" w:eastAsia="宋体" w:hAnsi="宋体" w:cs="宋体"/>
                      <w:kern w:val="0"/>
                      <w:szCs w:val="21"/>
                    </w:rPr>
                    <w:lastRenderedPageBreak/>
                    <w:t>化的，学校将通过相关途径主张权利，并依法追究侵权者的法律责任。</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第二十二条 在科技成果转移转化活动中弄虚作假、非法牟利，或对科技成果提供虚假检测或评估证明，给学校和他人造成损失的，由当事人依法承担全部法律责任。</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第二十三条 学校相关单位和人员，在科技成果转移转化活动中玩忽职守、徇私舞弊的，给予行政处分；构成犯罪的，学校有权对当事人追究法律责任。</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第六章 附则</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第二十四条 本办法未尽事宜参照国家和学校有关文件执行。</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第二十五条 本办法由学校科技处、财务处、人事处负责解释。</w:t>
                  </w:r>
                </w:p>
                <w:p w:rsidR="00912948" w:rsidRPr="00912948" w:rsidRDefault="00912948" w:rsidP="00912948">
                  <w:pPr>
                    <w:widowControl/>
                    <w:spacing w:before="100" w:beforeAutospacing="1" w:after="100" w:afterAutospacing="1" w:line="360" w:lineRule="atLeast"/>
                    <w:jc w:val="left"/>
                    <w:rPr>
                      <w:rFonts w:ascii="宋体" w:eastAsia="宋体" w:hAnsi="宋体" w:cs="宋体"/>
                      <w:kern w:val="0"/>
                      <w:szCs w:val="21"/>
                    </w:rPr>
                  </w:pPr>
                  <w:r w:rsidRPr="00912948">
                    <w:rPr>
                      <w:rFonts w:ascii="宋体" w:eastAsia="宋体" w:hAnsi="宋体" w:cs="宋体"/>
                      <w:kern w:val="0"/>
                      <w:szCs w:val="21"/>
                    </w:rPr>
                    <w:t>第二十六条 本办法自发布之日起施行。</w:t>
                  </w:r>
                </w:p>
              </w:tc>
            </w:tr>
          </w:tbl>
          <w:p w:rsidR="00912948" w:rsidRPr="00912948" w:rsidRDefault="00912948" w:rsidP="00912948">
            <w:pPr>
              <w:widowControl/>
              <w:jc w:val="center"/>
              <w:rPr>
                <w:rFonts w:ascii="宋体" w:eastAsia="宋体" w:hAnsi="宋体" w:cs="宋体"/>
                <w:kern w:val="0"/>
                <w:sz w:val="18"/>
                <w:szCs w:val="18"/>
              </w:rPr>
            </w:pPr>
          </w:p>
        </w:tc>
      </w:tr>
      <w:tr w:rsidR="00912948" w:rsidRPr="00912948" w:rsidTr="00912948">
        <w:trPr>
          <w:trHeight w:val="780"/>
          <w:tblCellSpacing w:w="0" w:type="dxa"/>
        </w:trPr>
        <w:tc>
          <w:tcPr>
            <w:tcW w:w="0" w:type="auto"/>
            <w:vAlign w:val="center"/>
            <w:hideMark/>
          </w:tcPr>
          <w:p w:rsidR="00912948" w:rsidRPr="00912948" w:rsidRDefault="00912948" w:rsidP="00912948">
            <w:pPr>
              <w:widowControl/>
              <w:spacing w:line="360" w:lineRule="atLeast"/>
              <w:jc w:val="center"/>
              <w:rPr>
                <w:rFonts w:ascii="宋体" w:eastAsia="宋体" w:hAnsi="宋体" w:cs="宋体"/>
                <w:kern w:val="0"/>
                <w:szCs w:val="21"/>
              </w:rPr>
            </w:pPr>
            <w:r w:rsidRPr="00912948">
              <w:rPr>
                <w:rFonts w:ascii="宋体" w:eastAsia="宋体" w:hAnsi="宋体" w:cs="宋体"/>
                <w:kern w:val="0"/>
                <w:sz w:val="18"/>
                <w:szCs w:val="18"/>
              </w:rPr>
              <w:lastRenderedPageBreak/>
              <w:br/>
            </w:r>
            <w:r w:rsidRPr="00912948">
              <w:rPr>
                <w:rFonts w:ascii="宋体" w:eastAsia="宋体" w:hAnsi="宋体" w:cs="宋体"/>
                <w:kern w:val="0"/>
                <w:sz w:val="18"/>
                <w:szCs w:val="18"/>
              </w:rPr>
              <w:br/>
            </w:r>
            <w:r>
              <w:rPr>
                <w:rFonts w:ascii="宋体" w:eastAsia="宋体" w:hAnsi="宋体" w:cs="宋体" w:hint="eastAsia"/>
                <w:kern w:val="0"/>
                <w:sz w:val="18"/>
                <w:szCs w:val="18"/>
              </w:rPr>
              <w:t xml:space="preserve">                                                   </w:t>
            </w:r>
            <w:r w:rsidRPr="008765A9">
              <w:rPr>
                <w:rFonts w:ascii="宋体" w:eastAsia="宋体" w:hAnsi="宋体" w:cs="宋体" w:hint="eastAsia"/>
                <w:kern w:val="0"/>
                <w:szCs w:val="21"/>
              </w:rPr>
              <w:t>天津医科大学   科技处</w:t>
            </w:r>
          </w:p>
        </w:tc>
      </w:tr>
    </w:tbl>
    <w:p w:rsidR="00193032" w:rsidRPr="00912948" w:rsidRDefault="00193032"/>
    <w:sectPr w:rsidR="00193032" w:rsidRPr="009129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032" w:rsidRDefault="00193032" w:rsidP="00912948">
      <w:r>
        <w:separator/>
      </w:r>
    </w:p>
  </w:endnote>
  <w:endnote w:type="continuationSeparator" w:id="1">
    <w:p w:rsidR="00193032" w:rsidRDefault="00193032" w:rsidP="009129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032" w:rsidRDefault="00193032" w:rsidP="00912948">
      <w:r>
        <w:separator/>
      </w:r>
    </w:p>
  </w:footnote>
  <w:footnote w:type="continuationSeparator" w:id="1">
    <w:p w:rsidR="00193032" w:rsidRDefault="00193032" w:rsidP="009129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948"/>
    <w:rsid w:val="00193032"/>
    <w:rsid w:val="008765A9"/>
    <w:rsid w:val="00912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9129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2948"/>
    <w:rPr>
      <w:sz w:val="18"/>
      <w:szCs w:val="18"/>
    </w:rPr>
  </w:style>
  <w:style w:type="paragraph" w:styleId="a4">
    <w:name w:val="footer"/>
    <w:basedOn w:val="a"/>
    <w:link w:val="Char0"/>
    <w:uiPriority w:val="99"/>
    <w:semiHidden/>
    <w:unhideWhenUsed/>
    <w:rsid w:val="009129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2948"/>
    <w:rPr>
      <w:sz w:val="18"/>
      <w:szCs w:val="18"/>
    </w:rPr>
  </w:style>
  <w:style w:type="character" w:styleId="a5">
    <w:name w:val="Hyperlink"/>
    <w:basedOn w:val="a0"/>
    <w:uiPriority w:val="99"/>
    <w:semiHidden/>
    <w:unhideWhenUsed/>
    <w:rsid w:val="00912948"/>
    <w:rPr>
      <w:color w:val="0000FF"/>
      <w:u w:val="single"/>
    </w:rPr>
  </w:style>
  <w:style w:type="character" w:customStyle="1" w:styleId="style2">
    <w:name w:val="style2"/>
    <w:basedOn w:val="a0"/>
    <w:rsid w:val="00912948"/>
  </w:style>
  <w:style w:type="paragraph" w:styleId="a6">
    <w:name w:val="Normal (Web)"/>
    <w:basedOn w:val="a"/>
    <w:uiPriority w:val="99"/>
    <w:unhideWhenUsed/>
    <w:rsid w:val="009129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8166644">
      <w:bodyDiv w:val="1"/>
      <w:marLeft w:val="0"/>
      <w:marRight w:val="0"/>
      <w:marTop w:val="0"/>
      <w:marBottom w:val="0"/>
      <w:divBdr>
        <w:top w:val="none" w:sz="0" w:space="0" w:color="auto"/>
        <w:left w:val="none" w:sz="0" w:space="0" w:color="auto"/>
        <w:bottom w:val="none" w:sz="0" w:space="0" w:color="auto"/>
        <w:right w:val="none" w:sz="0" w:space="0" w:color="auto"/>
      </w:divBdr>
      <w:divsChild>
        <w:div w:id="373844500">
          <w:marLeft w:val="0"/>
          <w:marRight w:val="0"/>
          <w:marTop w:val="0"/>
          <w:marBottom w:val="0"/>
          <w:divBdr>
            <w:top w:val="none" w:sz="0" w:space="0" w:color="auto"/>
            <w:left w:val="none" w:sz="0" w:space="0" w:color="auto"/>
            <w:bottom w:val="none" w:sz="0" w:space="0" w:color="auto"/>
            <w:right w:val="none" w:sz="0" w:space="0" w:color="auto"/>
          </w:divBdr>
        </w:div>
        <w:div w:id="974018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470</Words>
  <Characters>2680</Characters>
  <Application>Microsoft Office Word</Application>
  <DocSecurity>0</DocSecurity>
  <Lines>22</Lines>
  <Paragraphs>6</Paragraphs>
  <ScaleCrop>false</ScaleCrop>
  <Company>Microsoft</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2018-04-08T07:00:00Z</dcterms:created>
  <dcterms:modified xsi:type="dcterms:W3CDTF">2018-04-08T07:23:00Z</dcterms:modified>
</cp:coreProperties>
</file>